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Регламент работы тендерной системы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Общая логика работы</w:t>
      </w:r>
    </w:p>
    <w:p>
      <w:pPr>
        <w:spacing w:after="80" w:line="264" w:lineRule="auto"/>
      </w:pPr>
      <w:r>
        <w:rPr>
          <w:rFonts w:ascii="Arial" w:hAnsi="Arial"/>
          <w:sz w:val="21"/>
        </w:rPr>
        <w:t>Тендерная система предназначена для публикации закупочных процедур, приема заявок, проверки участников, коммуникации по тендеру и фиксации статусов в электронном виде.</w:t>
      </w:r>
    </w:p>
    <w:p>
      <w:pPr>
        <w:spacing w:after="80" w:line="264" w:lineRule="auto"/>
      </w:pPr>
      <w:r>
        <w:rPr>
          <w:rFonts w:ascii="Arial" w:hAnsi="Arial"/>
          <w:sz w:val="21"/>
        </w:rPr>
        <w:t>Доступ к функционалу может зависеть от роли пользователя: гость, зарегистрированный пользователь, представитель участника, организатор, модератор, администратор и иные роли, определяемые Оператором.</w:t>
      </w:r>
    </w:p>
    <w:p>
      <w:pPr>
        <w:pStyle w:val="Heading1"/>
      </w:pPr>
      <w:r>
        <w:t>2. Базовый сценарий для участника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поиск и просмотр тендера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ознакомление с условиями, сроками и перечнем документов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регистрация или вход в личный кабинет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заполнение профиля компании и контактных данных представителя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подача заявки, отклика или пакета документов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получение статусов, запросов на уточнение и сервисных уведомлений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участие в дальнейших этапах процедуры при наличии допуска.</w:t>
      </w:r>
    </w:p>
    <w:p>
      <w:pPr>
        <w:pStyle w:val="Heading1"/>
      </w:pPr>
      <w:r>
        <w:t>3. Базовый сценарий для организатора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создание карточки тендера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определение сроков, требований и этапов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прием и просмотр заявок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направление запросов на уточнение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допуск, отклонение, перевод на следующий этап или завершение процедуры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фиксация результатов и деловой переписки в системе.</w:t>
      </w:r>
    </w:p>
    <w:p>
      <w:pPr>
        <w:pStyle w:val="Heading1"/>
      </w:pPr>
      <w:r>
        <w:t>4. Документы и сообщения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Документы и сообщения, загружаемые в Платформу, должны относиться к соответствующей тендерной процедуре и быть читаемыми, актуальными и достоверными.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установить требования к форматам файлов, максимальному размеру, структуре наименований и комплектности пакета документов.</w:t>
      </w:r>
    </w:p>
    <w:p>
      <w:pPr>
        <w:pStyle w:val="Heading1"/>
      </w:pPr>
      <w:r>
        <w:t>5. Проверка и модерация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осуществлять автоматическую и ручную проверку регистрационных данных, содержания заявок и соблюдения правил Платформы.</w:t>
      </w:r>
    </w:p>
    <w:p>
      <w:pPr>
        <w:spacing w:after="80" w:line="264" w:lineRule="auto"/>
      </w:pPr>
      <w:r>
        <w:rPr>
          <w:rFonts w:ascii="Arial" w:hAnsi="Arial"/>
          <w:sz w:val="21"/>
        </w:rPr>
        <w:t>При выявлении противоречий, ошибок, подозрительной активности либо неполного пакета документов пользователю может быть направлен запрос на уточнение, а отдельные функции - временно ограничены.</w:t>
      </w:r>
    </w:p>
    <w:p>
      <w:pPr>
        <w:pStyle w:val="Heading1"/>
      </w:pPr>
      <w:r>
        <w:t>6. Уведомления и сроки</w:t>
      </w:r>
    </w:p>
    <w:p>
      <w:pPr>
        <w:spacing w:after="80" w:line="264" w:lineRule="auto"/>
      </w:pPr>
      <w:r>
        <w:rPr>
          <w:rFonts w:ascii="Arial" w:hAnsi="Arial"/>
          <w:sz w:val="21"/>
        </w:rPr>
        <w:t>Юридически значимые для пользования Платформой сообщения могут направляться в личный кабинет, на адрес электронной почты, по SMS либо иным способом, предусмотренным настройками и документами Платформы.</w:t>
      </w:r>
    </w:p>
    <w:p>
      <w:pPr>
        <w:spacing w:after="80" w:line="264" w:lineRule="auto"/>
      </w:pPr>
      <w:r>
        <w:rPr>
          <w:rFonts w:ascii="Arial" w:hAnsi="Arial"/>
          <w:sz w:val="21"/>
        </w:rPr>
        <w:t>Пользователь обязан самостоятельно контролировать поступление уведомлений и соблюдать сроки, установленные в карточке тендера.</w:t>
      </w:r>
    </w:p>
    <w:p>
      <w:pPr>
        <w:pStyle w:val="Heading1"/>
      </w:pPr>
      <w:r>
        <w:t>7. Безопасность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применять средства журналирования, контроля доступа, антифрода, резервного копирования, мониторинга и иные меры защиты Платформы.</w:t>
      </w:r>
    </w:p>
    <w:p>
      <w:pPr>
        <w:spacing w:after="80" w:line="264" w:lineRule="auto"/>
      </w:pPr>
      <w:r>
        <w:rPr>
          <w:rFonts w:ascii="Arial" w:hAnsi="Arial"/>
          <w:sz w:val="21"/>
        </w:rPr>
        <w:t>При угрозе безопасности Оператор вправе временно ограничить часть функций без предварительного уведомления.</w:t>
      </w:r>
    </w:p>
    <w:p>
      <w:pPr>
        <w:pStyle w:val="Heading1"/>
      </w:pPr>
      <w:r>
        <w:t>8. Изменение регламента</w:t>
      </w:r>
    </w:p>
    <w:p>
      <w:pPr>
        <w:spacing w:after="80" w:line="264" w:lineRule="auto"/>
      </w:pPr>
      <w:r>
        <w:rPr>
          <w:rFonts w:ascii="Arial" w:hAnsi="Arial"/>
          <w:sz w:val="21"/>
        </w:rPr>
        <w:t>Оператор вправе обновлять настоящий Регламент по мере развития функционала Платформы. Актуальная редакция размещается на сайте.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Регламент работы тендерной системы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